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C02" w:rsidRDefault="001C6C02" w:rsidP="004F03B5">
      <w:pPr>
        <w:pStyle w:val="SemEspaamento"/>
        <w:rPr>
          <w:rFonts w:ascii="Times New Roman" w:hAnsi="Times New Roman" w:cs="Times New Roman"/>
          <w:b/>
          <w:sz w:val="26"/>
          <w:szCs w:val="26"/>
        </w:rPr>
      </w:pPr>
    </w:p>
    <w:p w:rsidR="001C6C02" w:rsidRDefault="001C6C02" w:rsidP="004F03B5">
      <w:pPr>
        <w:pStyle w:val="SemEspaamento"/>
        <w:rPr>
          <w:rFonts w:ascii="Times New Roman" w:hAnsi="Times New Roman" w:cs="Times New Roman"/>
          <w:b/>
          <w:sz w:val="26"/>
          <w:szCs w:val="26"/>
        </w:rPr>
      </w:pPr>
    </w:p>
    <w:p w:rsidR="001C6C02" w:rsidRDefault="001C6C02" w:rsidP="004F03B5">
      <w:pPr>
        <w:pStyle w:val="SemEspaamento"/>
        <w:rPr>
          <w:rFonts w:ascii="Times New Roman" w:hAnsi="Times New Roman" w:cs="Times New Roman"/>
          <w:b/>
          <w:sz w:val="26"/>
          <w:szCs w:val="26"/>
        </w:rPr>
      </w:pPr>
    </w:p>
    <w:p w:rsidR="004F03B5" w:rsidRPr="00BD430F" w:rsidRDefault="004F03B5" w:rsidP="004F03B5">
      <w:pPr>
        <w:pStyle w:val="SemEspaamen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Projeto de Lei nº</w:t>
      </w:r>
      <w:r w:rsidR="001C6C02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</w:t>
      </w:r>
      <w:r w:rsidR="001C6C02">
        <w:rPr>
          <w:rFonts w:ascii="Times New Roman" w:hAnsi="Times New Roman" w:cs="Times New Roman"/>
          <w:b/>
          <w:sz w:val="26"/>
          <w:szCs w:val="26"/>
        </w:rPr>
        <w:t xml:space="preserve">                          13 de Março</w:t>
      </w:r>
      <w:r>
        <w:rPr>
          <w:rFonts w:ascii="Times New Roman" w:hAnsi="Times New Roman" w:cs="Times New Roman"/>
          <w:b/>
          <w:sz w:val="26"/>
          <w:szCs w:val="26"/>
        </w:rPr>
        <w:t xml:space="preserve"> de </w:t>
      </w:r>
      <w:r w:rsidRPr="00BD430F">
        <w:rPr>
          <w:rFonts w:ascii="Times New Roman" w:hAnsi="Times New Roman" w:cs="Times New Roman"/>
          <w:b/>
          <w:sz w:val="26"/>
          <w:szCs w:val="26"/>
        </w:rPr>
        <w:t>2019</w:t>
      </w:r>
    </w:p>
    <w:p w:rsidR="004F03B5" w:rsidRPr="00603010" w:rsidRDefault="004F03B5" w:rsidP="004F03B5">
      <w:pPr>
        <w:pStyle w:val="SemEspaamento"/>
        <w:rPr>
          <w:rFonts w:ascii="Times New Roman" w:hAnsi="Times New Roman" w:cs="Times New Roman"/>
          <w:sz w:val="26"/>
          <w:szCs w:val="26"/>
        </w:rPr>
      </w:pPr>
    </w:p>
    <w:p w:rsidR="004F03B5" w:rsidRDefault="004F03B5" w:rsidP="004F03B5">
      <w:pPr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4F03B5" w:rsidRDefault="004F03B5" w:rsidP="004F03B5">
      <w:pPr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4F03B5" w:rsidRPr="004F03B5" w:rsidRDefault="004F03B5" w:rsidP="004F03B5">
      <w:pPr>
        <w:rPr>
          <w:rFonts w:ascii="Times New Roman" w:hAnsi="Times New Roman" w:cs="Times New Roman"/>
          <w:sz w:val="26"/>
          <w:szCs w:val="26"/>
        </w:rPr>
      </w:pPr>
      <w:r w:rsidRPr="004F03B5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="005403B5" w:rsidRPr="004F03B5">
        <w:rPr>
          <w:rFonts w:ascii="Times New Roman" w:hAnsi="Times New Roman" w:cs="Times New Roman"/>
          <w:b/>
          <w:bCs/>
          <w:color w:val="000000"/>
          <w:sz w:val="26"/>
          <w:szCs w:val="26"/>
        </w:rPr>
        <w:t>“</w:t>
      </w:r>
      <w:r w:rsidR="005403B5" w:rsidRPr="004F03B5">
        <w:rPr>
          <w:rFonts w:ascii="Times New Roman" w:hAnsi="Times New Roman" w:cs="Times New Roman"/>
          <w:b/>
          <w:sz w:val="26"/>
          <w:szCs w:val="26"/>
        </w:rPr>
        <w:t>Dispõe sobr</w:t>
      </w:r>
      <w:r w:rsidR="005403B5">
        <w:rPr>
          <w:rFonts w:ascii="Times New Roman" w:hAnsi="Times New Roman" w:cs="Times New Roman"/>
          <w:b/>
          <w:sz w:val="26"/>
          <w:szCs w:val="26"/>
        </w:rPr>
        <w:t>e a isenção da taxa de inscrição em concursos públicos municipais as pessoas cadastradas no Registro Brasileiro de Doadores de Medula Óssea (REDOME)</w:t>
      </w:r>
      <w:r w:rsidR="005403B5" w:rsidRPr="004F03B5">
        <w:rPr>
          <w:rFonts w:ascii="Times New Roman" w:hAnsi="Times New Roman" w:cs="Times New Roman"/>
          <w:b/>
          <w:bCs/>
          <w:color w:val="000000"/>
          <w:sz w:val="26"/>
          <w:szCs w:val="26"/>
        </w:rPr>
        <w:t>”.</w:t>
      </w:r>
    </w:p>
    <w:p w:rsidR="004F03B5" w:rsidRPr="00603010" w:rsidRDefault="004F03B5" w:rsidP="004F03B5">
      <w:pPr>
        <w:pStyle w:val="SemEspaamento"/>
        <w:rPr>
          <w:rFonts w:ascii="Times New Roman" w:hAnsi="Times New Roman" w:cs="Times New Roman"/>
          <w:sz w:val="26"/>
          <w:szCs w:val="26"/>
        </w:rPr>
      </w:pPr>
    </w:p>
    <w:p w:rsidR="004F03B5" w:rsidRPr="004F03B5" w:rsidRDefault="004F03B5" w:rsidP="004F03B5">
      <w:pPr>
        <w:rPr>
          <w:rFonts w:ascii="Times New Roman" w:hAnsi="Times New Roman" w:cs="Times New Roman"/>
          <w:sz w:val="26"/>
          <w:szCs w:val="26"/>
        </w:rPr>
      </w:pPr>
      <w:r w:rsidRPr="001C6C02">
        <w:rPr>
          <w:rFonts w:ascii="Times New Roman" w:hAnsi="Times New Roman" w:cs="Times New Roman"/>
          <w:b/>
          <w:sz w:val="26"/>
          <w:szCs w:val="26"/>
        </w:rPr>
        <w:t>Art. 1º</w:t>
      </w:r>
      <w:r w:rsidR="00C706BF">
        <w:rPr>
          <w:rFonts w:ascii="Times New Roman" w:hAnsi="Times New Roman" w:cs="Times New Roman"/>
          <w:sz w:val="26"/>
          <w:szCs w:val="26"/>
        </w:rPr>
        <w:t xml:space="preserve"> - As pessoas cadastradas no Registro Brasileiro de Doadores de </w:t>
      </w:r>
      <w:r w:rsidR="0037622F">
        <w:rPr>
          <w:rFonts w:ascii="Times New Roman" w:hAnsi="Times New Roman" w:cs="Times New Roman"/>
          <w:sz w:val="26"/>
          <w:szCs w:val="26"/>
        </w:rPr>
        <w:t xml:space="preserve">Medula Óssea (REDOME) poderão ficar isentas do pagamento da taxa de inscrição em concursos públicos municipais. </w:t>
      </w:r>
    </w:p>
    <w:p w:rsidR="004F03B5" w:rsidRPr="004F03B5" w:rsidRDefault="004F03B5" w:rsidP="004F03B5">
      <w:pPr>
        <w:rPr>
          <w:rFonts w:ascii="Times New Roman" w:hAnsi="Times New Roman" w:cs="Times New Roman"/>
          <w:sz w:val="26"/>
          <w:szCs w:val="26"/>
        </w:rPr>
      </w:pPr>
      <w:r w:rsidRPr="004F03B5">
        <w:rPr>
          <w:rFonts w:ascii="Times New Roman" w:hAnsi="Times New Roman" w:cs="Times New Roman"/>
          <w:sz w:val="26"/>
          <w:szCs w:val="26"/>
        </w:rPr>
        <w:t xml:space="preserve"> </w:t>
      </w:r>
      <w:r w:rsidRPr="001C6C02">
        <w:rPr>
          <w:rFonts w:ascii="Times New Roman" w:hAnsi="Times New Roman" w:cs="Times New Roman"/>
          <w:b/>
          <w:sz w:val="26"/>
          <w:szCs w:val="26"/>
        </w:rPr>
        <w:t xml:space="preserve">PARÁGRAFO </w:t>
      </w:r>
      <w:r w:rsidR="001C6C02" w:rsidRPr="001C6C02">
        <w:rPr>
          <w:rFonts w:ascii="Times New Roman" w:hAnsi="Times New Roman" w:cs="Times New Roman"/>
          <w:b/>
          <w:sz w:val="26"/>
          <w:szCs w:val="26"/>
        </w:rPr>
        <w:t>ÚNICO</w:t>
      </w:r>
      <w:r w:rsidR="001C6C02" w:rsidRPr="004F03B5">
        <w:rPr>
          <w:rFonts w:ascii="Times New Roman" w:hAnsi="Times New Roman" w:cs="Times New Roman"/>
          <w:sz w:val="26"/>
          <w:szCs w:val="26"/>
        </w:rPr>
        <w:t>:</w:t>
      </w:r>
      <w:r w:rsidRPr="004F03B5">
        <w:rPr>
          <w:rFonts w:ascii="Times New Roman" w:hAnsi="Times New Roman" w:cs="Times New Roman"/>
          <w:sz w:val="26"/>
          <w:szCs w:val="26"/>
        </w:rPr>
        <w:t xml:space="preserve"> </w:t>
      </w:r>
      <w:r w:rsidR="0037622F">
        <w:rPr>
          <w:rFonts w:ascii="Times New Roman" w:hAnsi="Times New Roman" w:cs="Times New Roman"/>
          <w:sz w:val="26"/>
          <w:szCs w:val="26"/>
        </w:rPr>
        <w:t>A quantidade de beneficiários será estabelecida pelo poder Executivo, preservada a ordem cronológica de inscrição.</w:t>
      </w:r>
    </w:p>
    <w:p w:rsidR="004F03B5" w:rsidRPr="004F03B5" w:rsidRDefault="004F03B5" w:rsidP="004F03B5">
      <w:pPr>
        <w:rPr>
          <w:rFonts w:ascii="Times New Roman" w:hAnsi="Times New Roman" w:cs="Times New Roman"/>
          <w:sz w:val="26"/>
          <w:szCs w:val="26"/>
        </w:rPr>
      </w:pPr>
      <w:r w:rsidRPr="004F03B5">
        <w:rPr>
          <w:rFonts w:ascii="Times New Roman" w:hAnsi="Times New Roman" w:cs="Times New Roman"/>
          <w:sz w:val="26"/>
          <w:szCs w:val="26"/>
        </w:rPr>
        <w:t xml:space="preserve"> </w:t>
      </w:r>
      <w:r w:rsidRPr="001C6C02">
        <w:rPr>
          <w:rFonts w:ascii="Times New Roman" w:hAnsi="Times New Roman" w:cs="Times New Roman"/>
          <w:b/>
          <w:sz w:val="26"/>
          <w:szCs w:val="26"/>
        </w:rPr>
        <w:t>Art. 2º</w:t>
      </w:r>
      <w:r w:rsidRPr="004F03B5">
        <w:rPr>
          <w:rFonts w:ascii="Times New Roman" w:hAnsi="Times New Roman" w:cs="Times New Roman"/>
          <w:sz w:val="26"/>
          <w:szCs w:val="26"/>
        </w:rPr>
        <w:t xml:space="preserve"> -</w:t>
      </w:r>
      <w:r w:rsidR="0037622F">
        <w:rPr>
          <w:rFonts w:ascii="Times New Roman" w:hAnsi="Times New Roman" w:cs="Times New Roman"/>
          <w:sz w:val="26"/>
          <w:szCs w:val="26"/>
        </w:rPr>
        <w:t xml:space="preserve"> O beneficio apenas será concedido em havendo comprovação do cadastro no (REDOME), no momento da inscrição no concurso publico municipal</w:t>
      </w:r>
      <w:r w:rsidRPr="004F03B5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4F03B5" w:rsidRPr="004F03B5" w:rsidRDefault="004F03B5" w:rsidP="004F03B5">
      <w:pPr>
        <w:rPr>
          <w:rFonts w:ascii="Times New Roman" w:hAnsi="Times New Roman" w:cs="Times New Roman"/>
          <w:sz w:val="26"/>
          <w:szCs w:val="26"/>
        </w:rPr>
      </w:pPr>
      <w:r w:rsidRPr="001C6C02">
        <w:rPr>
          <w:rFonts w:ascii="Times New Roman" w:hAnsi="Times New Roman" w:cs="Times New Roman"/>
          <w:b/>
          <w:sz w:val="26"/>
          <w:szCs w:val="26"/>
        </w:rPr>
        <w:t>Art. 3º</w:t>
      </w:r>
      <w:r w:rsidRPr="004F03B5">
        <w:rPr>
          <w:rFonts w:ascii="Times New Roman" w:hAnsi="Times New Roman" w:cs="Times New Roman"/>
          <w:sz w:val="26"/>
          <w:szCs w:val="26"/>
        </w:rPr>
        <w:t xml:space="preserve"> –</w:t>
      </w:r>
      <w:r w:rsidR="0037622F">
        <w:rPr>
          <w:rFonts w:ascii="Times New Roman" w:hAnsi="Times New Roman" w:cs="Times New Roman"/>
          <w:sz w:val="26"/>
          <w:szCs w:val="26"/>
        </w:rPr>
        <w:t xml:space="preserve"> Esta lei poderá ser regulamentada, no que couber, pelo poder Executivo</w:t>
      </w:r>
      <w:r w:rsidRPr="004F03B5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4F03B5" w:rsidRPr="004F03B5" w:rsidRDefault="004F03B5" w:rsidP="004F03B5">
      <w:pPr>
        <w:rPr>
          <w:rFonts w:ascii="Times New Roman" w:hAnsi="Times New Roman" w:cs="Times New Roman"/>
          <w:sz w:val="26"/>
          <w:szCs w:val="26"/>
        </w:rPr>
      </w:pPr>
      <w:r w:rsidRPr="001C6C02">
        <w:rPr>
          <w:rFonts w:ascii="Times New Roman" w:hAnsi="Times New Roman" w:cs="Times New Roman"/>
          <w:b/>
          <w:sz w:val="26"/>
          <w:szCs w:val="26"/>
        </w:rPr>
        <w:t>Art. 4º</w:t>
      </w:r>
      <w:r w:rsidRPr="004F03B5">
        <w:rPr>
          <w:rFonts w:ascii="Times New Roman" w:hAnsi="Times New Roman" w:cs="Times New Roman"/>
          <w:sz w:val="26"/>
          <w:szCs w:val="26"/>
        </w:rPr>
        <w:t xml:space="preserve"> – Esta lei entra em vigor </w:t>
      </w:r>
      <w:r w:rsidR="0037622F">
        <w:rPr>
          <w:rFonts w:ascii="Times New Roman" w:hAnsi="Times New Roman" w:cs="Times New Roman"/>
          <w:sz w:val="26"/>
          <w:szCs w:val="26"/>
        </w:rPr>
        <w:t>a partir d</w:t>
      </w:r>
      <w:r w:rsidRPr="004F03B5">
        <w:rPr>
          <w:rFonts w:ascii="Times New Roman" w:hAnsi="Times New Roman" w:cs="Times New Roman"/>
          <w:sz w:val="26"/>
          <w:szCs w:val="26"/>
        </w:rPr>
        <w:t xml:space="preserve">a data de sua publicação. </w:t>
      </w:r>
    </w:p>
    <w:p w:rsidR="004F03B5" w:rsidRDefault="004F03B5" w:rsidP="004F03B5">
      <w:r>
        <w:t xml:space="preserve">                                                       </w:t>
      </w:r>
    </w:p>
    <w:p w:rsidR="004F03B5" w:rsidRDefault="004F03B5" w:rsidP="004F03B5"/>
    <w:p w:rsidR="004F03B5" w:rsidRPr="001426FE" w:rsidRDefault="004F03B5" w:rsidP="004F03B5">
      <w:pPr>
        <w:pStyle w:val="NormalWeb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                       </w:t>
      </w:r>
      <w:r w:rsidR="001C6C02">
        <w:rPr>
          <w:sz w:val="26"/>
          <w:szCs w:val="26"/>
        </w:rPr>
        <w:t xml:space="preserve"> Sala das Sessões, 13 de Março</w:t>
      </w:r>
      <w:r>
        <w:rPr>
          <w:sz w:val="26"/>
          <w:szCs w:val="26"/>
        </w:rPr>
        <w:t xml:space="preserve"> de</w:t>
      </w:r>
      <w:r w:rsidRPr="00603010">
        <w:rPr>
          <w:sz w:val="26"/>
          <w:szCs w:val="26"/>
        </w:rPr>
        <w:t xml:space="preserve"> 2019.</w:t>
      </w:r>
    </w:p>
    <w:p w:rsidR="004F03B5" w:rsidRPr="00603010" w:rsidRDefault="004F03B5" w:rsidP="004F03B5">
      <w:pPr>
        <w:pStyle w:val="SemEspaamento"/>
        <w:jc w:val="both"/>
        <w:rPr>
          <w:rFonts w:ascii="Times New Roman" w:hAnsi="Times New Roman" w:cs="Times New Roman"/>
          <w:sz w:val="26"/>
          <w:szCs w:val="26"/>
        </w:rPr>
      </w:pPr>
    </w:p>
    <w:p w:rsidR="004F03B5" w:rsidRPr="00603010" w:rsidRDefault="004F03B5" w:rsidP="004F03B5">
      <w:pPr>
        <w:pStyle w:val="SemEspaamento"/>
        <w:jc w:val="both"/>
        <w:rPr>
          <w:rFonts w:ascii="Times New Roman" w:hAnsi="Times New Roman" w:cs="Times New Roman"/>
          <w:sz w:val="26"/>
          <w:szCs w:val="26"/>
        </w:rPr>
      </w:pPr>
    </w:p>
    <w:p w:rsidR="004F03B5" w:rsidRDefault="004F03B5" w:rsidP="004F03B5">
      <w:pPr>
        <w:pStyle w:val="SemEspaamento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4F03B5" w:rsidRPr="00341340" w:rsidRDefault="004F03B5" w:rsidP="004F03B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ROBINHO</w:t>
      </w:r>
    </w:p>
    <w:p w:rsidR="004F03B5" w:rsidRPr="00341340" w:rsidRDefault="004F03B5" w:rsidP="004F03B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</w:t>
      </w:r>
      <w:r w:rsidRPr="00341340">
        <w:rPr>
          <w:b/>
          <w:sz w:val="24"/>
          <w:szCs w:val="24"/>
        </w:rPr>
        <w:t xml:space="preserve"> - PSL</w:t>
      </w:r>
    </w:p>
    <w:p w:rsidR="001E223F" w:rsidRDefault="004F03B5" w:rsidP="001E223F">
      <w:pPr>
        <w:jc w:val="center"/>
        <w:rPr>
          <w:b/>
          <w:sz w:val="24"/>
          <w:szCs w:val="24"/>
        </w:rPr>
      </w:pPr>
      <w:r w:rsidRPr="00341340">
        <w:rPr>
          <w:b/>
          <w:sz w:val="24"/>
          <w:szCs w:val="24"/>
        </w:rPr>
        <w:t>1º Secretário</w:t>
      </w:r>
    </w:p>
    <w:p w:rsidR="001E223F" w:rsidRDefault="001E223F" w:rsidP="001E223F">
      <w:pPr>
        <w:jc w:val="center"/>
        <w:rPr>
          <w:b/>
          <w:sz w:val="24"/>
          <w:szCs w:val="24"/>
        </w:rPr>
      </w:pPr>
    </w:p>
    <w:p w:rsidR="001E223F" w:rsidRDefault="001E223F" w:rsidP="001E223F">
      <w:pPr>
        <w:jc w:val="center"/>
        <w:rPr>
          <w:b/>
          <w:sz w:val="24"/>
          <w:szCs w:val="24"/>
        </w:rPr>
      </w:pPr>
    </w:p>
    <w:p w:rsidR="004F03B5" w:rsidRPr="001E223F" w:rsidRDefault="001E223F" w:rsidP="001E223F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                                                 </w:t>
      </w:r>
      <w:r w:rsidR="004F03B5" w:rsidRPr="001C6C02">
        <w:rPr>
          <w:rFonts w:ascii="Times New Roman" w:hAnsi="Times New Roman" w:cs="Times New Roman"/>
          <w:b/>
          <w:sz w:val="26"/>
          <w:szCs w:val="26"/>
        </w:rPr>
        <w:t>JUSTIFICATIVA</w:t>
      </w:r>
    </w:p>
    <w:p w:rsidR="004F03B5" w:rsidRPr="00603010" w:rsidRDefault="004F03B5" w:rsidP="004F03B5">
      <w:pPr>
        <w:pStyle w:val="SemEspaamento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1E223F" w:rsidRDefault="001E223F" w:rsidP="004F03B5">
      <w:pPr>
        <w:pStyle w:val="SemEspaamento"/>
        <w:rPr>
          <w:rFonts w:ascii="Times New Roman" w:hAnsi="Times New Roman" w:cs="Times New Roman"/>
          <w:b/>
          <w:i/>
          <w:sz w:val="26"/>
          <w:szCs w:val="26"/>
        </w:rPr>
      </w:pPr>
    </w:p>
    <w:p w:rsidR="001E223F" w:rsidRDefault="001E223F" w:rsidP="004F03B5">
      <w:pPr>
        <w:pStyle w:val="SemEspaamento"/>
        <w:rPr>
          <w:rFonts w:ascii="Times New Roman" w:hAnsi="Times New Roman" w:cs="Times New Roman"/>
          <w:b/>
          <w:i/>
          <w:sz w:val="26"/>
          <w:szCs w:val="26"/>
        </w:rPr>
      </w:pPr>
    </w:p>
    <w:p w:rsidR="004F03B5" w:rsidRPr="00603010" w:rsidRDefault="004F03B5" w:rsidP="004F03B5">
      <w:pPr>
        <w:pStyle w:val="SemEspaamento"/>
        <w:rPr>
          <w:rFonts w:ascii="Times New Roman" w:hAnsi="Times New Roman" w:cs="Times New Roman"/>
          <w:b/>
          <w:i/>
          <w:sz w:val="26"/>
          <w:szCs w:val="26"/>
        </w:rPr>
      </w:pPr>
      <w:r w:rsidRPr="00603010">
        <w:rPr>
          <w:rFonts w:ascii="Times New Roman" w:hAnsi="Times New Roman" w:cs="Times New Roman"/>
          <w:b/>
          <w:i/>
          <w:sz w:val="26"/>
          <w:szCs w:val="26"/>
        </w:rPr>
        <w:t>Senhor Presidente,</w:t>
      </w:r>
    </w:p>
    <w:p w:rsidR="004F03B5" w:rsidRPr="00603010" w:rsidRDefault="004F03B5" w:rsidP="004F03B5">
      <w:pPr>
        <w:pStyle w:val="SemEspaamento"/>
        <w:rPr>
          <w:rFonts w:ascii="Times New Roman" w:hAnsi="Times New Roman" w:cs="Times New Roman"/>
          <w:b/>
          <w:i/>
          <w:sz w:val="26"/>
          <w:szCs w:val="26"/>
        </w:rPr>
      </w:pPr>
      <w:r w:rsidRPr="00603010">
        <w:rPr>
          <w:rFonts w:ascii="Times New Roman" w:hAnsi="Times New Roman" w:cs="Times New Roman"/>
          <w:b/>
          <w:i/>
          <w:sz w:val="26"/>
          <w:szCs w:val="26"/>
        </w:rPr>
        <w:t>Senhoras e Senhores Vereadores,</w:t>
      </w:r>
    </w:p>
    <w:p w:rsidR="004F03B5" w:rsidRPr="00603010" w:rsidRDefault="004F03B5" w:rsidP="004F03B5">
      <w:pPr>
        <w:pStyle w:val="SemEspaamento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4F03B5" w:rsidRPr="00603010" w:rsidRDefault="004F03B5" w:rsidP="004F03B5">
      <w:pPr>
        <w:pStyle w:val="SemEspaamento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1E223F" w:rsidRDefault="004F03B5" w:rsidP="004F03B5">
      <w:pPr>
        <w:pStyle w:val="SemEspaamento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603010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           </w:t>
      </w:r>
    </w:p>
    <w:p w:rsidR="004F03B5" w:rsidRPr="00603010" w:rsidRDefault="004F03B5" w:rsidP="004F03B5">
      <w:pPr>
        <w:pStyle w:val="SemEspaamento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603010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Com grande honra submetemos a essa Colenda Casa de </w:t>
      </w:r>
      <w:r w:rsidR="001E223F">
        <w:rPr>
          <w:rFonts w:ascii="Times New Roman" w:hAnsi="Times New Roman" w:cs="Times New Roman"/>
          <w:bCs/>
          <w:color w:val="000000"/>
          <w:sz w:val="26"/>
          <w:szCs w:val="26"/>
        </w:rPr>
        <w:t>Leis o presente Projeto de Lei que</w:t>
      </w:r>
      <w:r w:rsidR="0037622F" w:rsidRPr="0037622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7622F" w:rsidRPr="004F03B5">
        <w:rPr>
          <w:rFonts w:ascii="Times New Roman" w:hAnsi="Times New Roman" w:cs="Times New Roman"/>
          <w:b/>
          <w:sz w:val="26"/>
          <w:szCs w:val="26"/>
        </w:rPr>
        <w:t>Dispõe sobr</w:t>
      </w:r>
      <w:r w:rsidR="0037622F">
        <w:rPr>
          <w:rFonts w:ascii="Times New Roman" w:hAnsi="Times New Roman" w:cs="Times New Roman"/>
          <w:b/>
          <w:sz w:val="26"/>
          <w:szCs w:val="26"/>
        </w:rPr>
        <w:t xml:space="preserve">e a isenção da taxa de inscrição em concursos públicos municipais as pessoas cadastradas no Registro Brasileiro de Doadores de Medula Óssea </w:t>
      </w:r>
      <w:r w:rsidR="005403B5">
        <w:rPr>
          <w:rFonts w:ascii="Times New Roman" w:hAnsi="Times New Roman" w:cs="Times New Roman"/>
          <w:b/>
          <w:sz w:val="26"/>
          <w:szCs w:val="26"/>
        </w:rPr>
        <w:t>(</w:t>
      </w:r>
      <w:r w:rsidR="0037622F">
        <w:rPr>
          <w:rFonts w:ascii="Times New Roman" w:hAnsi="Times New Roman" w:cs="Times New Roman"/>
          <w:b/>
          <w:sz w:val="26"/>
          <w:szCs w:val="26"/>
        </w:rPr>
        <w:t>REDOME)</w:t>
      </w:r>
      <w:r w:rsidR="001E223F">
        <w:rPr>
          <w:rFonts w:ascii="Times New Roman" w:hAnsi="Times New Roman" w:cs="Times New Roman"/>
          <w:bCs/>
          <w:color w:val="000000"/>
          <w:sz w:val="26"/>
          <w:szCs w:val="26"/>
        </w:rPr>
        <w:t>.</w:t>
      </w:r>
    </w:p>
    <w:p w:rsidR="004F03B5" w:rsidRPr="00603010" w:rsidRDefault="004F03B5" w:rsidP="004F03B5">
      <w:pPr>
        <w:pStyle w:val="SemEspaamento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1E223F" w:rsidRDefault="004F03B5" w:rsidP="001E223F">
      <w:pPr>
        <w:jc w:val="both"/>
        <w:rPr>
          <w:rFonts w:ascii="Times New Roman" w:hAnsi="Times New Roman" w:cs="Times New Roman"/>
          <w:sz w:val="26"/>
          <w:szCs w:val="26"/>
        </w:rPr>
      </w:pPr>
      <w:r w:rsidRPr="00603010">
        <w:rPr>
          <w:rFonts w:ascii="Times New Roman" w:hAnsi="Times New Roman" w:cs="Times New Roman"/>
          <w:sz w:val="26"/>
          <w:szCs w:val="26"/>
        </w:rPr>
        <w:tab/>
      </w:r>
    </w:p>
    <w:p w:rsidR="001E223F" w:rsidRDefault="00CC303E" w:rsidP="001E223F">
      <w:pPr>
        <w:jc w:val="both"/>
        <w:rPr>
          <w:sz w:val="26"/>
          <w:szCs w:val="26"/>
        </w:rPr>
      </w:pPr>
      <w:r>
        <w:rPr>
          <w:sz w:val="26"/>
          <w:szCs w:val="26"/>
        </w:rPr>
        <w:t>O transplante de medula óssea salva vidas em todo o mundo; no entanto não se trata de uma simples transfusão de sangue.</w:t>
      </w:r>
      <w:r w:rsidR="004F03B5">
        <w:rPr>
          <w:sz w:val="26"/>
          <w:szCs w:val="26"/>
        </w:rPr>
        <w:t xml:space="preserve"> </w:t>
      </w:r>
      <w:r>
        <w:rPr>
          <w:sz w:val="26"/>
          <w:szCs w:val="26"/>
        </w:rPr>
        <w:t>Na transfusão de sangue existe doador universal, mas mesmo assim, alguns tipos sanguíneos</w:t>
      </w:r>
      <w:r w:rsidR="005403B5">
        <w:rPr>
          <w:sz w:val="26"/>
          <w:szCs w:val="26"/>
        </w:rPr>
        <w:t xml:space="preserve"> </w:t>
      </w:r>
      <w:r>
        <w:rPr>
          <w:sz w:val="26"/>
          <w:szCs w:val="26"/>
        </w:rPr>
        <w:t>estão sempre escassos no banco de sangue. São milhares de famílias que passam noites em claro atrás de um doador de sangue compatível</w:t>
      </w:r>
      <w:r w:rsidR="005403B5">
        <w:rPr>
          <w:sz w:val="26"/>
          <w:szCs w:val="26"/>
        </w:rPr>
        <w:t>,</w:t>
      </w:r>
      <w:r>
        <w:rPr>
          <w:sz w:val="26"/>
          <w:szCs w:val="26"/>
        </w:rPr>
        <w:t xml:space="preserve"> mobilizando pessoas e campanhas para manter vivo um ente querido.</w:t>
      </w:r>
    </w:p>
    <w:p w:rsidR="00CC303E" w:rsidRDefault="00CC303E" w:rsidP="001E223F">
      <w:pPr>
        <w:jc w:val="both"/>
        <w:rPr>
          <w:sz w:val="26"/>
          <w:szCs w:val="26"/>
        </w:rPr>
      </w:pPr>
      <w:r>
        <w:rPr>
          <w:sz w:val="26"/>
          <w:szCs w:val="26"/>
        </w:rPr>
        <w:t>Noutra banda, o enquadramento fático e estatístico da dificuldade de</w:t>
      </w:r>
      <w:r w:rsidR="00322FEA">
        <w:rPr>
          <w:sz w:val="26"/>
          <w:szCs w:val="26"/>
        </w:rPr>
        <w:t xml:space="preserve"> conseguir um doador de medula óssea compatível com o receptor enfermo é uma chance em 100 (cem) mil, podendo ser abreviada, ainda mais, caso o paciente tiver herança genética rara, caindo para uma chance em UM MILHÃO.</w:t>
      </w:r>
    </w:p>
    <w:p w:rsidR="00322FEA" w:rsidRDefault="00322FEA" w:rsidP="001E223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Cabe destacar que o rol de patologias relacionado ao sistema sanguíneo e imunológico, com indicação de cura a partir do transplante de medula óssea, alcança mais de 70 (setenta) doenças, dentre as mais conhecidas estão </w:t>
      </w:r>
      <w:r w:rsidR="005403B5">
        <w:rPr>
          <w:sz w:val="26"/>
          <w:szCs w:val="26"/>
        </w:rPr>
        <w:t>à</w:t>
      </w:r>
      <w:r>
        <w:rPr>
          <w:sz w:val="26"/>
          <w:szCs w:val="26"/>
        </w:rPr>
        <w:t xml:space="preserve"> leucemia, linfomas, anemias graves e imunodeficiências.</w:t>
      </w:r>
    </w:p>
    <w:p w:rsidR="00322FEA" w:rsidRDefault="00322FEA" w:rsidP="001E223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Apresentado o panorama exordial, é verificado o dever de maior atenção e, principalmente, ação do poder publico para trazer enfoque </w:t>
      </w:r>
      <w:r w:rsidR="005403B5">
        <w:rPr>
          <w:sz w:val="26"/>
          <w:szCs w:val="26"/>
        </w:rPr>
        <w:t>à</w:t>
      </w:r>
      <w:r>
        <w:rPr>
          <w:sz w:val="26"/>
          <w:szCs w:val="26"/>
        </w:rPr>
        <w:t xml:space="preserve"> temática abordada no presente projeto de lei. O intuito da propositura é de sensibilizar mais pessoas para serem </w:t>
      </w:r>
      <w:r w:rsidR="005403B5">
        <w:rPr>
          <w:sz w:val="26"/>
          <w:szCs w:val="26"/>
        </w:rPr>
        <w:t xml:space="preserve">doadoras </w:t>
      </w:r>
      <w:r>
        <w:rPr>
          <w:sz w:val="26"/>
          <w:szCs w:val="26"/>
        </w:rPr>
        <w:t>de medula óssea, salvando, assim, vidas humanas.</w:t>
      </w:r>
    </w:p>
    <w:p w:rsidR="000D233B" w:rsidRDefault="00C46504" w:rsidP="001E223F">
      <w:pPr>
        <w:jc w:val="both"/>
        <w:rPr>
          <w:sz w:val="26"/>
          <w:szCs w:val="26"/>
        </w:rPr>
      </w:pPr>
      <w:r>
        <w:rPr>
          <w:sz w:val="26"/>
          <w:szCs w:val="26"/>
        </w:rPr>
        <w:t>Nos últimos anos houve aumento significativo do numero de doadores de medula óssea, mas em contrapartida, o numero de membros das famílias diminuiu. É sabido que a maior probabilidade em encontrar</w:t>
      </w:r>
      <w:r w:rsidR="005403B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compatibilidade é entre irmãos, porem. Ainda assim as chances são consideradas pequenas. </w:t>
      </w:r>
    </w:p>
    <w:p w:rsidR="000D233B" w:rsidRDefault="000D233B" w:rsidP="001E223F">
      <w:pPr>
        <w:jc w:val="both"/>
        <w:rPr>
          <w:sz w:val="26"/>
          <w:szCs w:val="26"/>
        </w:rPr>
      </w:pPr>
    </w:p>
    <w:p w:rsidR="000D233B" w:rsidRDefault="000D233B" w:rsidP="001E223F">
      <w:pPr>
        <w:jc w:val="both"/>
        <w:rPr>
          <w:sz w:val="26"/>
          <w:szCs w:val="26"/>
        </w:rPr>
      </w:pPr>
      <w:bookmarkStart w:id="0" w:name="_GoBack"/>
      <w:bookmarkEnd w:id="0"/>
    </w:p>
    <w:p w:rsidR="000D233B" w:rsidRDefault="000D233B" w:rsidP="001E223F">
      <w:pPr>
        <w:jc w:val="both"/>
        <w:rPr>
          <w:sz w:val="26"/>
          <w:szCs w:val="26"/>
        </w:rPr>
      </w:pPr>
    </w:p>
    <w:p w:rsidR="000D233B" w:rsidRDefault="000D233B" w:rsidP="001E223F">
      <w:pPr>
        <w:jc w:val="both"/>
        <w:rPr>
          <w:sz w:val="26"/>
          <w:szCs w:val="26"/>
        </w:rPr>
      </w:pPr>
    </w:p>
    <w:p w:rsidR="00322FEA" w:rsidRDefault="00C46504" w:rsidP="001E223F">
      <w:pPr>
        <w:jc w:val="both"/>
        <w:rPr>
          <w:sz w:val="26"/>
          <w:szCs w:val="26"/>
        </w:rPr>
      </w:pPr>
      <w:r>
        <w:rPr>
          <w:sz w:val="26"/>
          <w:szCs w:val="26"/>
        </w:rPr>
        <w:t>Pesquisas apontam que nesse caso a compatibilidade é de 25% (vinte e cinco por cento). Dessa maneira, o encolhimento das famílias diminui as possibilidades de transplante de medula óssea.</w:t>
      </w:r>
    </w:p>
    <w:p w:rsidR="00C46504" w:rsidRDefault="00C46504" w:rsidP="001E223F">
      <w:pPr>
        <w:jc w:val="both"/>
        <w:rPr>
          <w:sz w:val="26"/>
          <w:szCs w:val="26"/>
        </w:rPr>
      </w:pPr>
      <w:r>
        <w:rPr>
          <w:sz w:val="26"/>
          <w:szCs w:val="26"/>
        </w:rPr>
        <w:t>Esta proposição tem como finalidade incentivar o cadastramento de doadores de medula óssea no (REDOME) e valorizar o gesto nobre de quem tem iniciativa para ajudar outrem a permanecer vivo. O instrumento utilizado para satisfazer os objetivos destacados é conceder isenção da taxa de inscrição em concursos públicos municipais, haja vista que o valor arrecadado com a realização de concursos não é considerado como receita aos cofres municipais.</w:t>
      </w:r>
    </w:p>
    <w:p w:rsidR="00C46504" w:rsidRDefault="00C46504" w:rsidP="001E223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Por derradeiro, é imperioso ressaltar que o transplante é um processo simples, onde é retirado apenas 10 a 15% da medula óssea para salvar uma vida. Ressaltando que em cerca de 15 a 20 dias, o doador tem suas </w:t>
      </w:r>
      <w:r w:rsidR="005403B5">
        <w:rPr>
          <w:sz w:val="26"/>
          <w:szCs w:val="26"/>
        </w:rPr>
        <w:t>células</w:t>
      </w:r>
      <w:r>
        <w:rPr>
          <w:sz w:val="26"/>
          <w:szCs w:val="26"/>
        </w:rPr>
        <w:t xml:space="preserve"> regeneradas por completo, não havendo r</w:t>
      </w:r>
      <w:r w:rsidR="005403B5">
        <w:rPr>
          <w:sz w:val="26"/>
          <w:szCs w:val="26"/>
        </w:rPr>
        <w:t>iscos aos doadores, apenas ocorre à habilitação para salvar uma vida humana.</w:t>
      </w:r>
    </w:p>
    <w:p w:rsidR="00C46504" w:rsidRDefault="00C46504" w:rsidP="001E223F">
      <w:pPr>
        <w:jc w:val="both"/>
        <w:rPr>
          <w:sz w:val="26"/>
          <w:szCs w:val="26"/>
        </w:rPr>
      </w:pPr>
    </w:p>
    <w:p w:rsidR="004F03B5" w:rsidRPr="001E223F" w:rsidRDefault="001E223F" w:rsidP="001E223F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sz w:val="26"/>
          <w:szCs w:val="26"/>
        </w:rPr>
        <w:t xml:space="preserve">                                  Sala das Sessões, 13 de Março</w:t>
      </w:r>
      <w:r w:rsidR="004F03B5">
        <w:rPr>
          <w:sz w:val="26"/>
          <w:szCs w:val="26"/>
        </w:rPr>
        <w:t xml:space="preserve"> de</w:t>
      </w:r>
      <w:r>
        <w:rPr>
          <w:sz w:val="26"/>
          <w:szCs w:val="26"/>
        </w:rPr>
        <w:t xml:space="preserve"> 2019.</w:t>
      </w:r>
    </w:p>
    <w:p w:rsidR="004F03B5" w:rsidRPr="00603010" w:rsidRDefault="004F03B5" w:rsidP="004F03B5">
      <w:pPr>
        <w:pStyle w:val="SemEspaamento"/>
        <w:jc w:val="both"/>
        <w:rPr>
          <w:rFonts w:ascii="Times New Roman" w:hAnsi="Times New Roman" w:cs="Times New Roman"/>
          <w:sz w:val="26"/>
          <w:szCs w:val="26"/>
        </w:rPr>
      </w:pPr>
    </w:p>
    <w:p w:rsidR="004F03B5" w:rsidRPr="00603010" w:rsidRDefault="004F03B5" w:rsidP="004F03B5">
      <w:pPr>
        <w:pStyle w:val="SemEspaamento"/>
        <w:jc w:val="both"/>
        <w:rPr>
          <w:rFonts w:ascii="Times New Roman" w:hAnsi="Times New Roman" w:cs="Times New Roman"/>
          <w:sz w:val="26"/>
          <w:szCs w:val="26"/>
        </w:rPr>
      </w:pPr>
    </w:p>
    <w:p w:rsidR="004F03B5" w:rsidRDefault="004F03B5" w:rsidP="004F03B5">
      <w:pPr>
        <w:pStyle w:val="SemEspaamento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4F03B5" w:rsidRPr="00341340" w:rsidRDefault="004F03B5" w:rsidP="004F03B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ROBINHO</w:t>
      </w:r>
    </w:p>
    <w:p w:rsidR="004F03B5" w:rsidRPr="00341340" w:rsidRDefault="004F03B5" w:rsidP="004F03B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</w:t>
      </w:r>
      <w:r w:rsidRPr="00341340">
        <w:rPr>
          <w:b/>
          <w:sz w:val="24"/>
          <w:szCs w:val="24"/>
        </w:rPr>
        <w:t xml:space="preserve"> - PSL</w:t>
      </w:r>
    </w:p>
    <w:p w:rsidR="004F03B5" w:rsidRPr="00341340" w:rsidRDefault="004F03B5" w:rsidP="004F03B5">
      <w:pPr>
        <w:jc w:val="center"/>
        <w:rPr>
          <w:b/>
          <w:sz w:val="24"/>
          <w:szCs w:val="24"/>
        </w:rPr>
      </w:pPr>
      <w:r w:rsidRPr="00341340">
        <w:rPr>
          <w:b/>
          <w:sz w:val="24"/>
          <w:szCs w:val="24"/>
        </w:rPr>
        <w:t>1º Secretário</w:t>
      </w:r>
    </w:p>
    <w:p w:rsidR="004F03B5" w:rsidRPr="00341340" w:rsidRDefault="004F03B5" w:rsidP="004F03B5">
      <w:pPr>
        <w:jc w:val="center"/>
        <w:rPr>
          <w:b/>
          <w:sz w:val="24"/>
          <w:szCs w:val="24"/>
        </w:rPr>
      </w:pPr>
    </w:p>
    <w:p w:rsidR="004F03B5" w:rsidRPr="00784C47" w:rsidRDefault="004F03B5" w:rsidP="004F03B5">
      <w:pPr>
        <w:pStyle w:val="SemEspaamen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4F03B5" w:rsidRDefault="004F03B5" w:rsidP="004F03B5"/>
    <w:p w:rsidR="005573C5" w:rsidRDefault="00FF3223"/>
    <w:sectPr w:rsidR="005573C5" w:rsidSect="00335E2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3B5"/>
    <w:rsid w:val="00054E5B"/>
    <w:rsid w:val="000D233B"/>
    <w:rsid w:val="001C6C02"/>
    <w:rsid w:val="001E223F"/>
    <w:rsid w:val="00322FEA"/>
    <w:rsid w:val="0037622F"/>
    <w:rsid w:val="004F03B5"/>
    <w:rsid w:val="005403B5"/>
    <w:rsid w:val="005810B5"/>
    <w:rsid w:val="0076629F"/>
    <w:rsid w:val="00816C5B"/>
    <w:rsid w:val="00C46504"/>
    <w:rsid w:val="00C706BF"/>
    <w:rsid w:val="00C903FC"/>
    <w:rsid w:val="00CC303E"/>
    <w:rsid w:val="00FF3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03B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4F03B5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4F0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F03B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03B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4F03B5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4F0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F03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640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Roberson Pedrosa de Oliveira</dc:creator>
  <cp:lastModifiedBy>Victoria</cp:lastModifiedBy>
  <cp:revision>4</cp:revision>
  <cp:lastPrinted>2019-03-14T14:09:00Z</cp:lastPrinted>
  <dcterms:created xsi:type="dcterms:W3CDTF">2019-03-13T18:19:00Z</dcterms:created>
  <dcterms:modified xsi:type="dcterms:W3CDTF">2019-03-14T14:11:00Z</dcterms:modified>
</cp:coreProperties>
</file>