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242" w:rsidRPr="00725242" w:rsidRDefault="00725242" w:rsidP="00725242">
      <w:pPr>
        <w:pStyle w:val="Ttulo1"/>
        <w:widowControl/>
        <w:tabs>
          <w:tab w:val="left" w:pos="3402"/>
        </w:tabs>
        <w:ind w:left="0"/>
        <w:rPr>
          <w:b/>
          <w:sz w:val="28"/>
          <w:szCs w:val="28"/>
        </w:rPr>
      </w:pPr>
      <w:r w:rsidRPr="00725242">
        <w:rPr>
          <w:b/>
          <w:sz w:val="28"/>
          <w:szCs w:val="28"/>
        </w:rPr>
        <w:t>MOÇÃO Nº 0</w:t>
      </w:r>
      <w:r>
        <w:rPr>
          <w:b/>
          <w:sz w:val="28"/>
          <w:szCs w:val="28"/>
        </w:rPr>
        <w:t>1</w:t>
      </w:r>
      <w:r w:rsidRPr="00725242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</w:t>
      </w:r>
      <w:r w:rsidRPr="00725242">
        <w:rPr>
          <w:b/>
          <w:sz w:val="28"/>
          <w:szCs w:val="28"/>
        </w:rPr>
        <w:t>17</w:t>
      </w:r>
    </w:p>
    <w:p w:rsidR="00725242" w:rsidRDefault="00725242" w:rsidP="00725242">
      <w:pPr>
        <w:rPr>
          <w:sz w:val="24"/>
          <w:szCs w:val="24"/>
        </w:rPr>
      </w:pPr>
    </w:p>
    <w:p w:rsidR="00C060EE" w:rsidRPr="00725242" w:rsidRDefault="00C060EE" w:rsidP="00725242">
      <w:pPr>
        <w:rPr>
          <w:sz w:val="24"/>
          <w:szCs w:val="24"/>
        </w:rPr>
      </w:pPr>
    </w:p>
    <w:p w:rsidR="00725242" w:rsidRPr="00725242" w:rsidRDefault="00725242" w:rsidP="00725242">
      <w:pPr>
        <w:rPr>
          <w:sz w:val="24"/>
          <w:szCs w:val="24"/>
        </w:rPr>
      </w:pPr>
    </w:p>
    <w:p w:rsidR="00725242" w:rsidRPr="00725242" w:rsidRDefault="00AA1049" w:rsidP="00725242">
      <w:pPr>
        <w:pStyle w:val="Recuodecorpodetexto"/>
        <w:widowControl/>
        <w:tabs>
          <w:tab w:val="left" w:pos="3402"/>
        </w:tabs>
        <w:ind w:left="2268"/>
        <w:rPr>
          <w:sz w:val="24"/>
          <w:szCs w:val="24"/>
        </w:rPr>
      </w:pPr>
      <w:r>
        <w:rPr>
          <w:sz w:val="24"/>
          <w:szCs w:val="24"/>
        </w:rPr>
        <w:t>Moção</w:t>
      </w:r>
      <w:r w:rsidR="00725242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="00725242" w:rsidRPr="00725242">
        <w:rPr>
          <w:sz w:val="24"/>
          <w:szCs w:val="24"/>
        </w:rPr>
        <w:t xml:space="preserve">e Aplausos ao Hospital dos Fornecedores de Cana, em comemoração ao seu 50º aniversário de fundação e pelos relevantes serviços prestados à comunidade </w:t>
      </w:r>
      <w:r w:rsidR="00725242">
        <w:rPr>
          <w:sz w:val="24"/>
          <w:szCs w:val="24"/>
        </w:rPr>
        <w:t>de Piracicaba, São Pedro e Região.</w:t>
      </w:r>
    </w:p>
    <w:p w:rsidR="00725242" w:rsidRDefault="00725242" w:rsidP="00725242">
      <w:pPr>
        <w:ind w:firstLine="2268"/>
        <w:jc w:val="both"/>
        <w:rPr>
          <w:sz w:val="24"/>
          <w:szCs w:val="24"/>
        </w:rPr>
      </w:pPr>
    </w:p>
    <w:p w:rsidR="00C060EE" w:rsidRPr="00725242" w:rsidRDefault="00C060EE" w:rsidP="00725242">
      <w:pPr>
        <w:ind w:firstLine="2268"/>
        <w:jc w:val="both"/>
        <w:rPr>
          <w:sz w:val="24"/>
          <w:szCs w:val="24"/>
        </w:rPr>
      </w:pPr>
    </w:p>
    <w:p w:rsidR="00725242" w:rsidRPr="00725242" w:rsidRDefault="00725242" w:rsidP="00725242">
      <w:pPr>
        <w:jc w:val="both"/>
        <w:rPr>
          <w:sz w:val="24"/>
          <w:szCs w:val="24"/>
        </w:rPr>
      </w:pPr>
    </w:p>
    <w:p w:rsidR="00725242" w:rsidRPr="00725242" w:rsidRDefault="00725242" w:rsidP="00725242">
      <w:pPr>
        <w:ind w:firstLine="2268"/>
        <w:jc w:val="both"/>
        <w:rPr>
          <w:sz w:val="24"/>
          <w:szCs w:val="24"/>
        </w:rPr>
      </w:pPr>
      <w:r w:rsidRPr="00725242">
        <w:rPr>
          <w:sz w:val="24"/>
          <w:szCs w:val="24"/>
        </w:rPr>
        <w:t>A história do Hospital dos Fornecedores de Cana une-se com a da cidade de Piracicaba durante o apogeu da cultura canavieira, no ano de 1967. Milhares de pessoas empregadas no setor motivaram a criação de um complexo de saúde até então sem comparativos na cidade.</w:t>
      </w:r>
    </w:p>
    <w:p w:rsidR="00725242" w:rsidRPr="00725242" w:rsidRDefault="00725242" w:rsidP="00725242">
      <w:pPr>
        <w:ind w:firstLine="2268"/>
        <w:jc w:val="both"/>
        <w:rPr>
          <w:sz w:val="24"/>
          <w:szCs w:val="24"/>
        </w:rPr>
      </w:pPr>
    </w:p>
    <w:p w:rsidR="00725242" w:rsidRPr="00725242" w:rsidRDefault="00725242" w:rsidP="00725242">
      <w:pPr>
        <w:ind w:firstLine="2268"/>
        <w:jc w:val="both"/>
        <w:rPr>
          <w:sz w:val="24"/>
          <w:szCs w:val="24"/>
        </w:rPr>
      </w:pPr>
      <w:r w:rsidRPr="00725242">
        <w:rPr>
          <w:sz w:val="24"/>
          <w:szCs w:val="24"/>
        </w:rPr>
        <w:t xml:space="preserve">Sob a direção de Domingos José </w:t>
      </w:r>
      <w:proofErr w:type="spellStart"/>
      <w:r w:rsidRPr="00725242">
        <w:rPr>
          <w:sz w:val="24"/>
          <w:szCs w:val="24"/>
        </w:rPr>
        <w:t>Aldrovandi</w:t>
      </w:r>
      <w:proofErr w:type="spellEnd"/>
      <w:r w:rsidRPr="00725242">
        <w:rPr>
          <w:sz w:val="24"/>
          <w:szCs w:val="24"/>
        </w:rPr>
        <w:t xml:space="preserve"> e mantido pela Associação dos Fornecedores de Cana de Piracicaba, esse empreendimento foi um marco na evolução da saúde em todo o interior paulista.</w:t>
      </w:r>
    </w:p>
    <w:p w:rsidR="00725242" w:rsidRPr="00725242" w:rsidRDefault="00725242" w:rsidP="00725242">
      <w:pPr>
        <w:ind w:firstLine="2268"/>
        <w:jc w:val="both"/>
        <w:rPr>
          <w:sz w:val="24"/>
          <w:szCs w:val="24"/>
        </w:rPr>
      </w:pPr>
    </w:p>
    <w:p w:rsidR="00725242" w:rsidRPr="00725242" w:rsidRDefault="00725242" w:rsidP="00725242">
      <w:pPr>
        <w:ind w:firstLine="2268"/>
        <w:jc w:val="both"/>
        <w:rPr>
          <w:sz w:val="24"/>
          <w:szCs w:val="24"/>
        </w:rPr>
      </w:pPr>
      <w:r w:rsidRPr="00725242">
        <w:rPr>
          <w:sz w:val="24"/>
          <w:szCs w:val="24"/>
        </w:rPr>
        <w:t>Projetado inicialmente para atender o plantador rural, o hospital expandiu-se e ampliou o atendimento para outras classes conveniadas e também ao Sistema Único de Saúde.</w:t>
      </w:r>
    </w:p>
    <w:p w:rsidR="00725242" w:rsidRPr="00725242" w:rsidRDefault="00725242" w:rsidP="00725242">
      <w:pPr>
        <w:ind w:firstLine="2268"/>
        <w:jc w:val="both"/>
        <w:rPr>
          <w:sz w:val="24"/>
          <w:szCs w:val="24"/>
        </w:rPr>
      </w:pPr>
    </w:p>
    <w:p w:rsidR="00725242" w:rsidRPr="00725242" w:rsidRDefault="00725242" w:rsidP="00725242">
      <w:pPr>
        <w:ind w:firstLine="2268"/>
        <w:jc w:val="both"/>
        <w:rPr>
          <w:sz w:val="24"/>
          <w:szCs w:val="24"/>
        </w:rPr>
      </w:pPr>
      <w:r w:rsidRPr="00725242">
        <w:rPr>
          <w:sz w:val="24"/>
          <w:szCs w:val="24"/>
        </w:rPr>
        <w:t>Em março de 1994, assume a presidência José Coral, apoiado por uma diretoria dinâmica e ativa, que com visão inovadora e determinação mudou o rumo do HFC.</w:t>
      </w:r>
    </w:p>
    <w:p w:rsidR="00725242" w:rsidRPr="00725242" w:rsidRDefault="00725242" w:rsidP="00725242">
      <w:pPr>
        <w:ind w:firstLine="2268"/>
        <w:jc w:val="both"/>
        <w:rPr>
          <w:sz w:val="24"/>
          <w:szCs w:val="24"/>
        </w:rPr>
      </w:pPr>
    </w:p>
    <w:p w:rsidR="00725242" w:rsidRPr="00725242" w:rsidRDefault="00725242" w:rsidP="00725242">
      <w:pPr>
        <w:ind w:firstLine="2268"/>
        <w:jc w:val="both"/>
        <w:rPr>
          <w:sz w:val="24"/>
          <w:szCs w:val="24"/>
        </w:rPr>
      </w:pPr>
      <w:r w:rsidRPr="00725242">
        <w:rPr>
          <w:sz w:val="24"/>
          <w:szCs w:val="24"/>
        </w:rPr>
        <w:t xml:space="preserve">O hospital está inserido em uma região de aproximadamente 1.500.000 habitantes, sendo referência para mais de 20 municípios, contando com uma capacidade instalada de 276 leitos, </w:t>
      </w:r>
      <w:proofErr w:type="gramStart"/>
      <w:r w:rsidRPr="00725242">
        <w:rPr>
          <w:sz w:val="24"/>
          <w:szCs w:val="24"/>
        </w:rPr>
        <w:t>cerca de 262</w:t>
      </w:r>
      <w:proofErr w:type="gramEnd"/>
      <w:r w:rsidRPr="00725242">
        <w:rPr>
          <w:sz w:val="24"/>
          <w:szCs w:val="24"/>
        </w:rPr>
        <w:t xml:space="preserve"> médicos em função assistencial e mais de 1381 colaboradores na unidade.</w:t>
      </w:r>
    </w:p>
    <w:p w:rsidR="00725242" w:rsidRPr="00725242" w:rsidRDefault="00725242" w:rsidP="00725242">
      <w:pPr>
        <w:ind w:firstLine="2268"/>
        <w:jc w:val="both"/>
        <w:rPr>
          <w:sz w:val="24"/>
          <w:szCs w:val="24"/>
        </w:rPr>
      </w:pPr>
    </w:p>
    <w:p w:rsidR="00725242" w:rsidRPr="00725242" w:rsidRDefault="00725242" w:rsidP="00725242">
      <w:pPr>
        <w:ind w:firstLine="2268"/>
        <w:jc w:val="both"/>
        <w:rPr>
          <w:sz w:val="24"/>
          <w:szCs w:val="24"/>
        </w:rPr>
      </w:pPr>
      <w:r w:rsidRPr="00725242">
        <w:rPr>
          <w:sz w:val="24"/>
          <w:szCs w:val="24"/>
        </w:rPr>
        <w:t xml:space="preserve">Conta com serviços especializados de UTI Cardiológica, Geral e Unidade Coronariana, três setores de Internação, Agência </w:t>
      </w:r>
      <w:proofErr w:type="spellStart"/>
      <w:r w:rsidRPr="00725242">
        <w:rPr>
          <w:sz w:val="24"/>
          <w:szCs w:val="24"/>
        </w:rPr>
        <w:t>Transfusional</w:t>
      </w:r>
      <w:proofErr w:type="spellEnd"/>
      <w:r w:rsidRPr="00725242">
        <w:rPr>
          <w:sz w:val="24"/>
          <w:szCs w:val="24"/>
        </w:rPr>
        <w:t>, Sala de Emergência e Ortopedia e Serviços completos de Diagnóstico e Imagem, Pediatria, Alojamento Conjunto, Banco de Leite Humano, UTI Neonatal, Unidade de Cuidados Intermediários.</w:t>
      </w:r>
    </w:p>
    <w:p w:rsidR="00725242" w:rsidRPr="00725242" w:rsidRDefault="00725242" w:rsidP="00725242">
      <w:pPr>
        <w:ind w:firstLine="2268"/>
        <w:jc w:val="both"/>
        <w:rPr>
          <w:sz w:val="24"/>
          <w:szCs w:val="24"/>
        </w:rPr>
      </w:pPr>
    </w:p>
    <w:p w:rsidR="00725242" w:rsidRPr="00725242" w:rsidRDefault="00725242" w:rsidP="00725242">
      <w:pPr>
        <w:ind w:firstLine="2268"/>
        <w:jc w:val="both"/>
        <w:rPr>
          <w:sz w:val="24"/>
          <w:szCs w:val="24"/>
        </w:rPr>
      </w:pPr>
      <w:r w:rsidRPr="00725242">
        <w:rPr>
          <w:sz w:val="24"/>
          <w:szCs w:val="24"/>
        </w:rPr>
        <w:t xml:space="preserve">Os projetos de humanização consolidaram e evidenciaram a ação do HFC em responsabilidade social e ambiental. Projetos como </w:t>
      </w:r>
      <w:proofErr w:type="gramStart"/>
      <w:r w:rsidRPr="00725242">
        <w:rPr>
          <w:sz w:val="24"/>
          <w:szCs w:val="24"/>
        </w:rPr>
        <w:t>o Mãe</w:t>
      </w:r>
      <w:proofErr w:type="gramEnd"/>
      <w:r w:rsidRPr="00725242">
        <w:rPr>
          <w:sz w:val="24"/>
          <w:szCs w:val="24"/>
        </w:rPr>
        <w:t xml:space="preserve"> Canguru, Ginástica Laboral, Amigas do Peito, Curso de Gestante, Acupuntura, Mente Consciente e Grupo de Voluntários, são responsáveis para diminuir as desigualdades sociais. Todos os projetos dos voluntários vêm incorporar o grande objetivo do HFC que é buscar a humanização do ambiente hospitalar.</w:t>
      </w:r>
    </w:p>
    <w:p w:rsidR="00725242" w:rsidRPr="00725242" w:rsidRDefault="00725242" w:rsidP="00725242">
      <w:pPr>
        <w:ind w:firstLine="2268"/>
        <w:jc w:val="both"/>
        <w:rPr>
          <w:sz w:val="24"/>
          <w:szCs w:val="24"/>
        </w:rPr>
      </w:pPr>
    </w:p>
    <w:p w:rsidR="00725242" w:rsidRPr="00725242" w:rsidRDefault="00725242" w:rsidP="00725242">
      <w:pPr>
        <w:ind w:firstLine="2268"/>
        <w:jc w:val="both"/>
        <w:rPr>
          <w:sz w:val="24"/>
          <w:szCs w:val="24"/>
        </w:rPr>
      </w:pPr>
      <w:r w:rsidRPr="00725242">
        <w:rPr>
          <w:sz w:val="24"/>
          <w:szCs w:val="24"/>
        </w:rPr>
        <w:t>Investindo em seu quadro de colaboradores o HFC lançou em 2008 o Programa “Vida de Ouro”, composto por um ciclo de atividades de melhoria da qualidade de vida dos colaboradores, médicos e parceiros.</w:t>
      </w:r>
    </w:p>
    <w:p w:rsidR="00725242" w:rsidRPr="00725242" w:rsidRDefault="00725242" w:rsidP="00725242">
      <w:pPr>
        <w:ind w:firstLine="2268"/>
        <w:jc w:val="both"/>
        <w:rPr>
          <w:sz w:val="24"/>
          <w:szCs w:val="24"/>
        </w:rPr>
      </w:pPr>
    </w:p>
    <w:p w:rsidR="00725242" w:rsidRPr="00725242" w:rsidRDefault="00725242" w:rsidP="00725242">
      <w:pPr>
        <w:ind w:firstLine="2268"/>
        <w:jc w:val="both"/>
        <w:rPr>
          <w:sz w:val="24"/>
          <w:szCs w:val="24"/>
        </w:rPr>
      </w:pPr>
      <w:r w:rsidRPr="00725242">
        <w:rPr>
          <w:sz w:val="24"/>
          <w:szCs w:val="24"/>
        </w:rPr>
        <w:t>Validando ações de seguridade dos pacientes e gestão organizacional, em 2012 o HFC recebeu o Selo de Conformidade Nível Ouro, aplicado pelo CQH - Compromisso pela Qualidade Hospitalar – Instituição vinculada à Fundação Nacional da Qualidade (FNQ). Com a Certificação Nível Ouro, o HFC passa contemplar o quadro seleto de hospitais referência em Qualidade. </w:t>
      </w:r>
      <w:proofErr w:type="gramStart"/>
      <w:r w:rsidRPr="00725242">
        <w:rPr>
          <w:sz w:val="24"/>
          <w:szCs w:val="24"/>
        </w:rPr>
        <w:t xml:space="preserve"> </w:t>
      </w:r>
    </w:p>
    <w:p w:rsidR="00725242" w:rsidRPr="00725242" w:rsidRDefault="00725242" w:rsidP="00725242">
      <w:pPr>
        <w:ind w:firstLine="2268"/>
        <w:jc w:val="both"/>
        <w:rPr>
          <w:sz w:val="24"/>
          <w:szCs w:val="24"/>
        </w:rPr>
      </w:pPr>
      <w:proofErr w:type="gramEnd"/>
    </w:p>
    <w:p w:rsidR="00725242" w:rsidRPr="00725242" w:rsidRDefault="00725242" w:rsidP="00725242">
      <w:pPr>
        <w:ind w:firstLine="2268"/>
        <w:jc w:val="both"/>
        <w:rPr>
          <w:sz w:val="24"/>
          <w:szCs w:val="24"/>
        </w:rPr>
      </w:pPr>
      <w:r w:rsidRPr="00725242">
        <w:rPr>
          <w:sz w:val="24"/>
          <w:szCs w:val="24"/>
        </w:rPr>
        <w:t>O Hospital dos Fornecedores de Cana de Piracicaba, por meio de um atendimento humanizado e recursos técnicos e humanos de alta qualidade, busca a cada dia oferecer assistência em saúde a favor da vida.</w:t>
      </w:r>
    </w:p>
    <w:p w:rsidR="00725242" w:rsidRPr="00725242" w:rsidRDefault="00725242" w:rsidP="00725242">
      <w:pPr>
        <w:ind w:firstLine="2268"/>
        <w:jc w:val="both"/>
        <w:rPr>
          <w:sz w:val="24"/>
          <w:szCs w:val="24"/>
        </w:rPr>
      </w:pPr>
    </w:p>
    <w:p w:rsidR="00725242" w:rsidRPr="00725242" w:rsidRDefault="00725242" w:rsidP="00725242">
      <w:pPr>
        <w:ind w:firstLine="2268"/>
        <w:jc w:val="both"/>
        <w:rPr>
          <w:sz w:val="24"/>
          <w:szCs w:val="24"/>
        </w:rPr>
      </w:pPr>
      <w:r w:rsidRPr="00725242">
        <w:rPr>
          <w:sz w:val="24"/>
          <w:szCs w:val="24"/>
        </w:rPr>
        <w:t>A Associação dos Fornecedores de Cana de Piracicaba – AFOCAPI é mantenedora do Hospital dos Fornecedores de Cana de Piracicaba e sua diretoria atuante e visionária atua como facilitadora do desenvolvimento e da qualidade de nossa instituição a favor da saúde dos associados da categoria canavieira e dos demais convênios atendidos.</w:t>
      </w:r>
    </w:p>
    <w:p w:rsidR="00725242" w:rsidRPr="00725242" w:rsidRDefault="00725242" w:rsidP="00725242">
      <w:pPr>
        <w:ind w:firstLine="2268"/>
        <w:jc w:val="both"/>
        <w:rPr>
          <w:sz w:val="24"/>
          <w:szCs w:val="24"/>
        </w:rPr>
      </w:pPr>
    </w:p>
    <w:p w:rsidR="00725242" w:rsidRPr="00725242" w:rsidRDefault="00725242" w:rsidP="00725242">
      <w:pPr>
        <w:ind w:firstLine="2268"/>
        <w:jc w:val="both"/>
        <w:rPr>
          <w:sz w:val="24"/>
          <w:szCs w:val="24"/>
        </w:rPr>
      </w:pPr>
      <w:r w:rsidRPr="00725242">
        <w:rPr>
          <w:sz w:val="24"/>
          <w:szCs w:val="24"/>
        </w:rPr>
        <w:t>A AFOCAPI desde 1972 possui o Certificado de Estabelecimento Beneficente de Assistência Social - CEBAS, emitido pelo Ministério de Assistência Social e Combate à Fome, através do CNAS – Conselho Nacional de Assistência Social, órgão responsável pela emissão dos certificados de filantropia.</w:t>
      </w:r>
    </w:p>
    <w:p w:rsidR="00725242" w:rsidRPr="00725242" w:rsidRDefault="00725242" w:rsidP="00725242">
      <w:pPr>
        <w:ind w:firstLine="2268"/>
        <w:jc w:val="both"/>
        <w:rPr>
          <w:sz w:val="24"/>
          <w:szCs w:val="24"/>
        </w:rPr>
      </w:pPr>
    </w:p>
    <w:p w:rsidR="00725242" w:rsidRPr="00725242" w:rsidRDefault="00725242" w:rsidP="00725242">
      <w:pPr>
        <w:ind w:firstLine="2268"/>
        <w:jc w:val="both"/>
        <w:rPr>
          <w:sz w:val="24"/>
          <w:szCs w:val="24"/>
        </w:rPr>
      </w:pPr>
      <w:r w:rsidRPr="00725242">
        <w:rPr>
          <w:sz w:val="24"/>
          <w:szCs w:val="24"/>
        </w:rPr>
        <w:t>O HFC tem como valor a inovação constante de seu parque tecnológico, investindo sequencialmente na aquisição de novos equipamentos, reformas e novas construções, bem como no desenvolvimento e crescimento de seu capital intelectual.</w:t>
      </w:r>
    </w:p>
    <w:p w:rsidR="00725242" w:rsidRPr="00725242" w:rsidRDefault="00725242" w:rsidP="00725242">
      <w:pPr>
        <w:ind w:firstLine="2268"/>
        <w:jc w:val="both"/>
        <w:rPr>
          <w:sz w:val="24"/>
          <w:szCs w:val="24"/>
        </w:rPr>
      </w:pPr>
    </w:p>
    <w:p w:rsidR="00725242" w:rsidRPr="00725242" w:rsidRDefault="00725242" w:rsidP="00725242">
      <w:pPr>
        <w:ind w:firstLine="2268"/>
        <w:jc w:val="both"/>
        <w:rPr>
          <w:sz w:val="24"/>
          <w:szCs w:val="24"/>
        </w:rPr>
      </w:pPr>
      <w:r w:rsidRPr="00725242">
        <w:rPr>
          <w:sz w:val="24"/>
          <w:szCs w:val="24"/>
        </w:rPr>
        <w:t>O HFC é referência em serviços de nefrologia, cirurgia cardíaca, transplantes cardíacos, renais e de medula, conta com atendimento cardiológico 24h e serviços próprios de laboratório de patologias clínicas.</w:t>
      </w:r>
    </w:p>
    <w:p w:rsidR="00725242" w:rsidRPr="00725242" w:rsidRDefault="00725242" w:rsidP="00725242">
      <w:pPr>
        <w:ind w:firstLine="2268"/>
        <w:jc w:val="both"/>
        <w:rPr>
          <w:sz w:val="24"/>
          <w:szCs w:val="24"/>
        </w:rPr>
      </w:pPr>
    </w:p>
    <w:p w:rsidR="00725242" w:rsidRPr="00725242" w:rsidRDefault="00725242" w:rsidP="00725242">
      <w:pPr>
        <w:ind w:firstLine="2268"/>
        <w:jc w:val="both"/>
        <w:rPr>
          <w:sz w:val="24"/>
          <w:szCs w:val="24"/>
        </w:rPr>
      </w:pPr>
      <w:r w:rsidRPr="00725242">
        <w:rPr>
          <w:sz w:val="24"/>
          <w:szCs w:val="24"/>
        </w:rPr>
        <w:t>O investimento em reformas, aquisição de equipamentos de última geração e treinamento de pessoal, bem como a renovação da sua marca institucional e estrutura física estão alinhados com a estratégia do HFC de se consolidar como referência em qualidade hospitalar.</w:t>
      </w:r>
    </w:p>
    <w:p w:rsidR="00725242" w:rsidRPr="00725242" w:rsidRDefault="00725242" w:rsidP="00725242">
      <w:pPr>
        <w:ind w:firstLine="2268"/>
        <w:jc w:val="both"/>
        <w:rPr>
          <w:sz w:val="24"/>
          <w:szCs w:val="24"/>
        </w:rPr>
      </w:pPr>
    </w:p>
    <w:p w:rsidR="00725242" w:rsidRPr="00725242" w:rsidRDefault="00725242" w:rsidP="00725242">
      <w:pPr>
        <w:ind w:firstLine="2268"/>
        <w:jc w:val="both"/>
        <w:rPr>
          <w:sz w:val="24"/>
          <w:szCs w:val="24"/>
        </w:rPr>
      </w:pPr>
      <w:r w:rsidRPr="00725242">
        <w:rPr>
          <w:sz w:val="24"/>
          <w:szCs w:val="24"/>
        </w:rPr>
        <w:t>Entre tantos investimentos vales ressaltar a construção da nova UTI, estruturada com equipamentos de alta tecnologia e a modernização estrutural e tecnológica das UTI existentes. O novo e moderno Laboratório de Análises Clínicas – HFC LAB e da nova brinquedoteca da Pediatria foram construídos para manter a relação de credibilidade, confiança e excelência no atendimento aos clientes.</w:t>
      </w:r>
    </w:p>
    <w:p w:rsidR="00725242" w:rsidRDefault="00725242" w:rsidP="00725242">
      <w:pPr>
        <w:jc w:val="both"/>
        <w:rPr>
          <w:sz w:val="24"/>
          <w:szCs w:val="24"/>
        </w:rPr>
      </w:pPr>
    </w:p>
    <w:p w:rsidR="00C060EE" w:rsidRDefault="00C060EE" w:rsidP="00725242">
      <w:pPr>
        <w:jc w:val="both"/>
        <w:rPr>
          <w:sz w:val="24"/>
          <w:szCs w:val="24"/>
        </w:rPr>
      </w:pPr>
    </w:p>
    <w:p w:rsidR="00C060EE" w:rsidRDefault="00C060EE" w:rsidP="00725242">
      <w:pPr>
        <w:jc w:val="both"/>
        <w:rPr>
          <w:sz w:val="24"/>
          <w:szCs w:val="24"/>
        </w:rPr>
      </w:pPr>
    </w:p>
    <w:p w:rsidR="00C060EE" w:rsidRPr="00725242" w:rsidRDefault="00C060EE" w:rsidP="00725242">
      <w:pPr>
        <w:jc w:val="both"/>
        <w:rPr>
          <w:sz w:val="24"/>
          <w:szCs w:val="24"/>
        </w:rPr>
      </w:pPr>
    </w:p>
    <w:p w:rsidR="00725242" w:rsidRPr="00725242" w:rsidRDefault="00725242" w:rsidP="00725242">
      <w:pPr>
        <w:ind w:firstLine="2268"/>
        <w:jc w:val="both"/>
        <w:rPr>
          <w:sz w:val="24"/>
          <w:szCs w:val="24"/>
        </w:rPr>
      </w:pPr>
      <w:r w:rsidRPr="00725242">
        <w:rPr>
          <w:sz w:val="24"/>
          <w:szCs w:val="24"/>
        </w:rPr>
        <w:t xml:space="preserve">Diante do exposto submetemos à apreciação do Plenário, na forma regimental, a presente Moção de Aplausos ao Hospital dos Fornecedores de Cana, em comemoração ao seu 50º aniversário de fundação e pelos relevantes serviços prestados à comunidade </w:t>
      </w:r>
      <w:r w:rsidR="00E05D7B">
        <w:rPr>
          <w:sz w:val="24"/>
          <w:szCs w:val="24"/>
        </w:rPr>
        <w:t>de Piracicaba, São Pedro e Região</w:t>
      </w:r>
      <w:bookmarkStart w:id="0" w:name="_GoBack"/>
      <w:bookmarkEnd w:id="0"/>
      <w:r w:rsidRPr="00725242">
        <w:rPr>
          <w:sz w:val="24"/>
          <w:szCs w:val="24"/>
        </w:rPr>
        <w:t>. Na pessoa do seu presidente, Sr. José Coral estendida para toda sua diretoria.</w:t>
      </w:r>
    </w:p>
    <w:p w:rsidR="00725242" w:rsidRDefault="00725242" w:rsidP="00725242">
      <w:pPr>
        <w:ind w:firstLine="2268"/>
        <w:jc w:val="both"/>
        <w:rPr>
          <w:sz w:val="24"/>
          <w:szCs w:val="24"/>
        </w:rPr>
      </w:pPr>
    </w:p>
    <w:p w:rsidR="00C060EE" w:rsidRDefault="00C060EE" w:rsidP="00725242">
      <w:pPr>
        <w:ind w:firstLine="2268"/>
        <w:jc w:val="both"/>
        <w:rPr>
          <w:sz w:val="24"/>
          <w:szCs w:val="24"/>
        </w:rPr>
      </w:pPr>
    </w:p>
    <w:p w:rsidR="00C060EE" w:rsidRPr="00725242" w:rsidRDefault="00C060EE" w:rsidP="00725242">
      <w:pPr>
        <w:ind w:firstLine="2268"/>
        <w:jc w:val="both"/>
        <w:rPr>
          <w:sz w:val="24"/>
          <w:szCs w:val="24"/>
        </w:rPr>
      </w:pPr>
    </w:p>
    <w:p w:rsidR="00725242" w:rsidRPr="00725242" w:rsidRDefault="00725242" w:rsidP="00725242">
      <w:pPr>
        <w:ind w:firstLine="2268"/>
        <w:jc w:val="right"/>
        <w:rPr>
          <w:sz w:val="24"/>
          <w:szCs w:val="24"/>
        </w:rPr>
      </w:pPr>
    </w:p>
    <w:p w:rsidR="00725242" w:rsidRPr="00AA1049" w:rsidRDefault="00725242" w:rsidP="00AA1049">
      <w:pPr>
        <w:jc w:val="center"/>
        <w:rPr>
          <w:b/>
          <w:sz w:val="24"/>
          <w:szCs w:val="24"/>
        </w:rPr>
      </w:pPr>
      <w:r w:rsidRPr="00AA1049">
        <w:rPr>
          <w:b/>
          <w:sz w:val="24"/>
          <w:szCs w:val="24"/>
        </w:rPr>
        <w:t xml:space="preserve">Sala das Reuniões, </w:t>
      </w:r>
      <w:r w:rsidR="00AA1049" w:rsidRPr="00AA1049">
        <w:rPr>
          <w:b/>
          <w:sz w:val="24"/>
          <w:szCs w:val="24"/>
        </w:rPr>
        <w:t>20</w:t>
      </w:r>
      <w:r w:rsidRPr="00AA1049">
        <w:rPr>
          <w:b/>
          <w:sz w:val="24"/>
          <w:szCs w:val="24"/>
        </w:rPr>
        <w:t xml:space="preserve"> de </w:t>
      </w:r>
      <w:r w:rsidR="00AA1049" w:rsidRPr="00AA1049">
        <w:rPr>
          <w:b/>
          <w:sz w:val="24"/>
          <w:szCs w:val="24"/>
        </w:rPr>
        <w:t>março</w:t>
      </w:r>
      <w:r w:rsidRPr="00AA1049">
        <w:rPr>
          <w:b/>
          <w:sz w:val="24"/>
          <w:szCs w:val="24"/>
        </w:rPr>
        <w:t xml:space="preserve"> de 2017.</w:t>
      </w:r>
    </w:p>
    <w:p w:rsidR="00725242" w:rsidRDefault="00725242" w:rsidP="00725242">
      <w:pPr>
        <w:widowControl/>
        <w:ind w:firstLine="2268"/>
        <w:jc w:val="both"/>
        <w:rPr>
          <w:sz w:val="24"/>
          <w:szCs w:val="24"/>
        </w:rPr>
      </w:pPr>
    </w:p>
    <w:p w:rsidR="00C060EE" w:rsidRDefault="00C060EE" w:rsidP="00725242">
      <w:pPr>
        <w:widowControl/>
        <w:ind w:firstLine="2268"/>
        <w:jc w:val="both"/>
        <w:rPr>
          <w:sz w:val="24"/>
          <w:szCs w:val="24"/>
        </w:rPr>
      </w:pPr>
    </w:p>
    <w:p w:rsidR="00C060EE" w:rsidRDefault="00C060EE" w:rsidP="00725242">
      <w:pPr>
        <w:widowControl/>
        <w:ind w:firstLine="2268"/>
        <w:jc w:val="both"/>
        <w:rPr>
          <w:sz w:val="24"/>
          <w:szCs w:val="24"/>
        </w:rPr>
      </w:pPr>
    </w:p>
    <w:p w:rsidR="00C060EE" w:rsidRDefault="00C060EE" w:rsidP="00725242">
      <w:pPr>
        <w:widowControl/>
        <w:ind w:firstLine="2268"/>
        <w:jc w:val="both"/>
        <w:rPr>
          <w:sz w:val="24"/>
          <w:szCs w:val="24"/>
        </w:rPr>
      </w:pPr>
    </w:p>
    <w:p w:rsidR="00AA1049" w:rsidRPr="00AA1049" w:rsidRDefault="00AA1049" w:rsidP="00AA1049">
      <w:pPr>
        <w:widowControl/>
        <w:jc w:val="center"/>
        <w:rPr>
          <w:b/>
          <w:sz w:val="24"/>
          <w:szCs w:val="24"/>
        </w:rPr>
      </w:pPr>
      <w:r w:rsidRPr="00AA1049">
        <w:rPr>
          <w:b/>
          <w:sz w:val="24"/>
          <w:szCs w:val="24"/>
        </w:rPr>
        <w:t>ELIAS GARCIA CANDEIAS</w:t>
      </w:r>
    </w:p>
    <w:p w:rsidR="00AA1049" w:rsidRPr="00AA1049" w:rsidRDefault="00AA1049" w:rsidP="00AA1049">
      <w:pPr>
        <w:widowControl/>
        <w:jc w:val="center"/>
        <w:rPr>
          <w:b/>
          <w:sz w:val="24"/>
          <w:szCs w:val="24"/>
        </w:rPr>
      </w:pPr>
      <w:r w:rsidRPr="00AA1049">
        <w:rPr>
          <w:b/>
          <w:sz w:val="24"/>
          <w:szCs w:val="24"/>
        </w:rPr>
        <w:t>VEREADOR</w:t>
      </w:r>
    </w:p>
    <w:p w:rsidR="00725242" w:rsidRPr="00725242" w:rsidRDefault="00725242" w:rsidP="00725242">
      <w:pPr>
        <w:widowControl/>
        <w:ind w:firstLine="2268"/>
        <w:jc w:val="both"/>
        <w:rPr>
          <w:sz w:val="24"/>
          <w:szCs w:val="24"/>
        </w:rPr>
      </w:pPr>
    </w:p>
    <w:p w:rsidR="00725242" w:rsidRPr="00725242" w:rsidRDefault="00725242" w:rsidP="00725242">
      <w:pPr>
        <w:widowControl/>
        <w:jc w:val="both"/>
        <w:rPr>
          <w:b/>
          <w:sz w:val="24"/>
          <w:szCs w:val="24"/>
        </w:rPr>
      </w:pPr>
    </w:p>
    <w:p w:rsidR="00A84BF7" w:rsidRPr="00725242" w:rsidRDefault="00A84BF7">
      <w:pPr>
        <w:rPr>
          <w:sz w:val="24"/>
          <w:szCs w:val="24"/>
        </w:rPr>
      </w:pPr>
    </w:p>
    <w:sectPr w:rsidR="00A84BF7" w:rsidRPr="00725242" w:rsidSect="00C060EE">
      <w:headerReference w:type="default" r:id="rId8"/>
      <w:pgSz w:w="11907" w:h="16840" w:code="9"/>
      <w:pgMar w:top="2835" w:right="1304" w:bottom="127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6F0" w:rsidRDefault="008F16F0" w:rsidP="00725242">
      <w:r>
        <w:separator/>
      </w:r>
    </w:p>
  </w:endnote>
  <w:endnote w:type="continuationSeparator" w:id="0">
    <w:p w:rsidR="008F16F0" w:rsidRDefault="008F16F0" w:rsidP="00725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6F0" w:rsidRDefault="008F16F0" w:rsidP="00725242">
      <w:r>
        <w:separator/>
      </w:r>
    </w:p>
  </w:footnote>
  <w:footnote w:type="continuationSeparator" w:id="0">
    <w:p w:rsidR="008F16F0" w:rsidRDefault="008F16F0" w:rsidP="007252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C7D" w:rsidRDefault="008F16F0">
    <w:pPr>
      <w:pStyle w:val="Cabealho"/>
      <w:jc w:val="center"/>
      <w:rPr>
        <w:rFonts w:ascii="Arial" w:hAnsi="Arial"/>
        <w:b/>
        <w:sz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94A79"/>
    <w:multiLevelType w:val="hybridMultilevel"/>
    <w:tmpl w:val="6186CAA4"/>
    <w:lvl w:ilvl="0" w:tplc="8C1691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242"/>
    <w:rsid w:val="00725242"/>
    <w:rsid w:val="008F16F0"/>
    <w:rsid w:val="00A84BF7"/>
    <w:rsid w:val="00AA1049"/>
    <w:rsid w:val="00BF5A23"/>
    <w:rsid w:val="00C060EE"/>
    <w:rsid w:val="00E0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24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25242"/>
    <w:pPr>
      <w:keepNext/>
      <w:ind w:left="2835"/>
      <w:jc w:val="both"/>
      <w:outlineLvl w:val="0"/>
    </w:pPr>
    <w:rPr>
      <w:color w:val="000000"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25242"/>
    <w:rPr>
      <w:rFonts w:ascii="Times New Roman" w:eastAsia="Times New Roman" w:hAnsi="Times New Roman" w:cs="Times New Roman"/>
      <w:color w:val="000000"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72524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72524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725242"/>
    <w:pPr>
      <w:ind w:left="2694"/>
      <w:jc w:val="both"/>
    </w:pPr>
    <w:rPr>
      <w:b/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524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2524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2524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24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25242"/>
    <w:pPr>
      <w:keepNext/>
      <w:ind w:left="2835"/>
      <w:jc w:val="both"/>
      <w:outlineLvl w:val="0"/>
    </w:pPr>
    <w:rPr>
      <w:color w:val="000000"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25242"/>
    <w:rPr>
      <w:rFonts w:ascii="Times New Roman" w:eastAsia="Times New Roman" w:hAnsi="Times New Roman" w:cs="Times New Roman"/>
      <w:color w:val="000000"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72524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72524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725242"/>
    <w:pPr>
      <w:ind w:left="2694"/>
      <w:jc w:val="both"/>
    </w:pPr>
    <w:rPr>
      <w:b/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524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2524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2524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770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2017-03-15T17:48:00Z</dcterms:created>
  <dcterms:modified xsi:type="dcterms:W3CDTF">2017-03-15T18:06:00Z</dcterms:modified>
</cp:coreProperties>
</file>